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789802779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XIII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28"/>
          <w:lang w:val="ru-RU"/>
        </w:rPr>
        <w:t>48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06</w:t>
      </w:r>
      <w:r>
        <w:rPr>
          <w:b/>
          <w:sz w:val="26"/>
          <w:szCs w:val="26"/>
          <w:lang w:val="en-US"/>
        </w:rPr>
        <w:t>.1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  <w:lang w:val="en-US"/>
        </w:rPr>
        <w:t>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отчёта об исполнении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бюджета муниципального образования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сельского поселения «Холодное эвенкийское»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  3 квартал 2024 года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В соответствии со статьями 264.5. и 264.6. Бюджетного кодекса РФ Совет депутатов муниципального образования сельского поселения «Холодное эвенкийское» решает: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   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1. Утвердить отчет об исполнении бюджета поселения за 3 квартал 2023 года: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в  общем объёме доходов  в сумме 3 096 927,01  рублей,  в том числе  безвозмездных поступлений в сумме 2 898 417,68  рублей,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в  общем  объём расходов в сумме 3 145 922.60  рублей;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-дефицит  в сумме 48 995,59 рублей.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2. Утвердить отчёт об исполнении бюджета поселения за 3 квартал 2024 года по кодам классификации доходов бюджета.  (Приложение 1).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3. Утвердить отчёт об исполнении бюджета поселении за 3 квартал 2024 года по кодам расходов бюджета по ведомственной структуре расходов (Приложение 2).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4. Утвердить отчёт об исполнении бюджета поселении за 3 квартал 2024 года по разделам и подразделам классификации расходов бюджета (Приложение 3).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5. Утвердить отчёт об исполнении бюджета поселения за 3 квартал 2024 года по кодам классификации источников финансирования дефицита бюджета (Приложение 4).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        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6.  Настоящее решение вступает в силу со дня его официального обнародования.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Приложение 1  к решению Совета депутатов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МО СП "Холодное эвенкийское"  от </w:t>
      </w:r>
      <w:r>
        <w:rPr>
          <w:color w:val="000000"/>
          <w:sz w:val="16"/>
        </w:rPr>
        <w:t>06.11.</w:t>
      </w:r>
      <w:r>
        <w:rPr>
          <w:color w:val="000000"/>
          <w:sz w:val="16"/>
        </w:rPr>
        <w:t>2024 №</w:t>
      </w:r>
      <w:r>
        <w:rPr>
          <w:color w:val="000000"/>
          <w:sz w:val="16"/>
        </w:rPr>
        <w:t>48</w:t>
      </w:r>
      <w:r>
        <w:rPr>
          <w:color w:val="000000"/>
          <w:sz w:val="16"/>
        </w:rPr>
        <w:t xml:space="preserve">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>бюджета МО СП "Холодное эвенкийское" за 3 квартал 2024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3 КВАРТАЛ 2024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tbl>
      <w:tblPr>
        <w:tblW w:w="10762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8"/>
        <w:gridCol w:w="4534"/>
        <w:gridCol w:w="1187"/>
        <w:gridCol w:w="1135"/>
        <w:gridCol w:w="1140"/>
        <w:gridCol w:w="787"/>
      </w:tblGrid>
      <w:tr>
        <w:trPr>
          <w:trHeight w:val="255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>
        <w:trPr>
          <w:trHeight w:val="225" w:hRule="atLeast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"ХОЛОДНОЕ ЭВЕНКИЙСКОЕ" СЕВЕРО-БАЙКАЛЬСКОГО РАЙОНА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4 043 443,68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3 096 927,01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946 516,67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</w:tr>
      <w:tr>
        <w:trPr>
          <w:trHeight w:val="225" w:hRule="atLeast"/>
        </w:trPr>
        <w:tc>
          <w:tcPr>
            <w:tcW w:w="65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198 509,33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-1 509,33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</w:tr>
      <w:tr>
        <w:trPr>
          <w:trHeight w:val="22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18210100000000000000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76 134,36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-26 134,36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</w:t>
            </w:r>
          </w:p>
        </w:tc>
      </w:tr>
      <w:tr>
        <w:trPr>
          <w:trHeight w:val="112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18210102010010000110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76 134,36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-26 134,36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</w:t>
            </w:r>
          </w:p>
        </w:tc>
      </w:tr>
      <w:tr>
        <w:trPr>
          <w:trHeight w:val="22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18210600000000000000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44 818,80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52 181,20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18210601030100000110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9 378,04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10 621,96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18210606033100000110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26 023,00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11 477,00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18210606043100000110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9 417,76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30 082,24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96311100000000000000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77 071,43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-27 071,43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96311105075100000120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77 071,43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-27 071,43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>
        <w:trPr>
          <w:trHeight w:val="22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96311300000000000000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-484,74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96311302995100000130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-484,74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65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3 846 443,68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2 898 417,68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948 026,00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96320200000000000000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3 843 308,00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2 895 282,00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948 026,00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96320215001100000150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96320235118100000150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189 150,00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63 050,00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>
        <w:trPr>
          <w:trHeight w:val="22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96320249999100000150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360 832,00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358 332,00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>
        <w:trPr>
          <w:trHeight w:val="450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96320290054100000150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3 228 419,00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2 347 800,00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880 619,00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>
        <w:trPr>
          <w:trHeight w:val="67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96321800000000000000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96321860010100000150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4 043 443,68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3 096 927,01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946 516,67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" w:hAnsi="Calibri" w:eastAsia="Microsoft YaHe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>
      <w:pPr>
        <w:pStyle w:val="Normal"/>
        <w:jc w:val="right"/>
        <w:rPr/>
      </w:pPr>
      <w:r>
        <w:rPr>
          <w:color w:val="000000"/>
          <w:sz w:val="16"/>
        </w:rPr>
        <w:t xml:space="preserve">МО СП "Холодное эвенкийское"  от </w:t>
      </w:r>
      <w:r>
        <w:rPr>
          <w:color w:val="000000"/>
          <w:sz w:val="16"/>
        </w:rPr>
        <w:t>06.11.</w:t>
      </w:r>
      <w:r>
        <w:rPr>
          <w:color w:val="000000"/>
          <w:sz w:val="16"/>
        </w:rPr>
        <w:t>2024 №</w:t>
      </w:r>
      <w:r>
        <w:rPr>
          <w:color w:val="000000"/>
          <w:sz w:val="16"/>
        </w:rPr>
        <w:t>48</w:t>
      </w:r>
      <w:r>
        <w:rPr>
          <w:color w:val="000000"/>
          <w:sz w:val="16"/>
        </w:rPr>
        <w:t xml:space="preserve"> 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jc w:val="right"/>
        <w:rPr/>
      </w:pPr>
      <w:r>
        <w:rPr>
          <w:color w:val="000000"/>
          <w:sz w:val="16"/>
        </w:rPr>
        <w:t>бюджета МО СП "Холодное эвенкийское"  за 3 квартал 2024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rFonts w:eastAsia="Microsoft YaHei" w:cs="Mangal" w:ascii="Calibri" w:hAnsi="Calibri"/>
          <w:color w:val="000000"/>
          <w:sz w:val="16"/>
          <w:szCs w:val="16"/>
        </w:rPr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3 КВАРТАЛ 2024 ГОДА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3"/>
        <w:gridCol w:w="1147"/>
        <w:gridCol w:w="474"/>
        <w:gridCol w:w="4060"/>
        <w:gridCol w:w="1100"/>
        <w:gridCol w:w="1098"/>
        <w:gridCol w:w="1097"/>
        <w:gridCol w:w="763"/>
      </w:tblGrid>
      <w:tr>
        <w:trPr>
          <w:trHeight w:val="765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3 124 758.72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2 076 577.28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1 048 181.44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1 568 002.95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1 153 600.69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414 402.26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1 184 540.67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881 044.88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303 495.79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362 630.28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251 723.81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110 906.47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1 521 712.77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890 933.59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630 779.18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656 901.77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428 082.77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228 819.00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35 116.00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32 116.00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127 799.58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127 596.42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203.16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83 277.33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62 940.35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20 336.98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567 744.09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191 321.43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376 422.66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997.38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162 795.58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89 404.42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162 795.58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89 404.42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177 800.00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125 853.30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51 946.70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57 700.00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36 942.28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20 757.72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1 031 093.37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896 549.74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134 543.63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1 031 093.37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896 549.74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134 543.63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403 890.00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126 110.00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36 566.37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8 433.63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118 591.37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118 591.37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3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4 448 052.09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3 145 922.60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1 302 129.49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МО СП «Холодное эвенкийское»  от </w:t>
      </w:r>
      <w:r>
        <w:rPr>
          <w:rFonts w:eastAsia="Microsoft YaHei"/>
          <w:color w:val="000000"/>
          <w:sz w:val="16"/>
          <w:szCs w:val="16"/>
        </w:rPr>
        <w:t>06.11.</w:t>
      </w:r>
      <w:r>
        <w:rPr>
          <w:rFonts w:eastAsia="Microsoft YaHei"/>
          <w:color w:val="000000"/>
          <w:sz w:val="16"/>
          <w:szCs w:val="16"/>
        </w:rPr>
        <w:t>2024 №</w:t>
      </w:r>
      <w:r>
        <w:rPr>
          <w:rFonts w:eastAsia="Microsoft YaHei"/>
          <w:color w:val="000000"/>
          <w:sz w:val="16"/>
          <w:szCs w:val="16"/>
        </w:rPr>
        <w:t>48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>
        <w:rPr>
          <w:color w:val="000000"/>
          <w:sz w:val="16"/>
        </w:rPr>
        <w:t xml:space="preserve">за 3 квартал 2024 года </w:t>
      </w:r>
      <w:r>
        <w:rPr>
          <w:rFonts w:eastAsia="Microsoft YaHei"/>
          <w:color w:val="000000"/>
          <w:sz w:val="16"/>
          <w:szCs w:val="16"/>
        </w:rPr>
        <w:t>»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3 КВАРТАЛ 2024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 w:cs="Arial" w:ascii="Arial" w:hAnsi="Arial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2"/>
        <w:gridCol w:w="1148"/>
        <w:gridCol w:w="473"/>
        <w:gridCol w:w="4061"/>
        <w:gridCol w:w="1099"/>
        <w:gridCol w:w="1098"/>
        <w:gridCol w:w="1097"/>
        <w:gridCol w:w="764"/>
      </w:tblGrid>
      <w:tr>
        <w:trPr>
          <w:trHeight w:val="765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3 124 758.72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2 076 577.28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1 048 181.44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1 568 002.95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1 153 600.69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414 402.26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1 521 712.77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890 933.59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630 779.18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162 795.58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89 404.42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162 795.58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89 404.42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1 031 093.37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896 549.74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134 543.63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1 031 093.37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896 549.74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134 543.63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3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4 448 052.09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3 145 922.60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1 302 129.49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</w:tr>
    </w:tbl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 от </w:t>
      </w:r>
      <w:r>
        <w:rPr>
          <w:rFonts w:eastAsia="Microsoft YaHei"/>
          <w:color w:val="000000"/>
          <w:sz w:val="16"/>
          <w:szCs w:val="16"/>
        </w:rPr>
        <w:t>06.11.</w:t>
      </w:r>
      <w:r>
        <w:rPr>
          <w:rFonts w:eastAsia="Microsoft YaHei"/>
          <w:color w:val="000000"/>
          <w:sz w:val="16"/>
          <w:szCs w:val="16"/>
        </w:rPr>
        <w:t>2024 №</w:t>
      </w:r>
      <w:r>
        <w:rPr>
          <w:rFonts w:eastAsia="Microsoft YaHei"/>
          <w:color w:val="000000"/>
          <w:sz w:val="16"/>
          <w:szCs w:val="16"/>
        </w:rPr>
        <w:t>48</w:t>
      </w:r>
      <w:r>
        <w:rPr>
          <w:rFonts w:eastAsia="Microsoft YaHei"/>
          <w:color w:val="000000"/>
          <w:sz w:val="16"/>
          <w:szCs w:val="16"/>
        </w:rPr>
        <w:t xml:space="preserve"> 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>
        <w:rPr>
          <w:color w:val="000000"/>
          <w:sz w:val="16"/>
        </w:rPr>
        <w:t xml:space="preserve"> за 3 квартал 2024 года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>
      <w:pPr>
        <w:pStyle w:val="Normal"/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ind w:left="60"/>
        <w:jc w:val="center"/>
        <w:rPr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3 КВАРТАЛ 2024 ГОДА</w:t>
      </w:r>
    </w:p>
    <w:p>
      <w:pPr>
        <w:pStyle w:val="Normal"/>
        <w:ind w:left="60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/>
      </w:r>
    </w:p>
    <w:tbl>
      <w:tblPr>
        <w:tblW w:w="10893" w:type="dxa"/>
        <w:jc w:val="left"/>
        <w:tblInd w:w="-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0" w:firstColumn="1" w:lastColumn="0" w:noHBand="0" w:val="00a0"/>
      </w:tblPr>
      <w:tblGrid>
        <w:gridCol w:w="358"/>
        <w:gridCol w:w="1846"/>
        <w:gridCol w:w="4280"/>
        <w:gridCol w:w="1289"/>
        <w:gridCol w:w="1135"/>
        <w:gridCol w:w="1038"/>
        <w:gridCol w:w="946"/>
      </w:tblGrid>
      <w:tr>
        <w:trPr>
          <w:trHeight w:val="288" w:hRule="atLeast"/>
        </w:trPr>
        <w:tc>
          <w:tcPr>
            <w:tcW w:w="6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Остаток денежных средств на 01.01.2024г.</w:t>
            </w:r>
          </w:p>
        </w:tc>
      </w:tr>
      <w:tr>
        <w:trPr>
          <w:trHeight w:val="46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-404 608,41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-48 995,59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-355 612,82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auto"/>
                <w:sz w:val="18"/>
                <w:szCs w:val="18"/>
              </w:rPr>
              <w:t>404 608,41</w:t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-4 043 443,68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-3 096 927,01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-946 516,67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-4 043 443,68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-3 096 927,01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-946 516,67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4 448 052.09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3 145 922.60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1 302 129.49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4 448 052.09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3 145 922.60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1 302 129.49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684" w:footer="1044" w:bottom="11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LibreOffice/7.6.4.1$Windows_X86_64 LibreOffice_project/e19e193f88cd6c0525a17fb7a176ed8e6a3e2aa1</Application>
  <AppVersion>15.0000</AppVersion>
  <Pages>6</Pages>
  <Words>1822</Words>
  <Characters>11083</Characters>
  <CharactersWithSpaces>12527</CharactersWithSpaces>
  <Paragraphs>618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2024-11-05T10:16:34Z</cp:lastPrinted>
  <dcterms:modified xsi:type="dcterms:W3CDTF">2024-11-05T10:16:44Z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