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CorelDraw.Graphic.6" ShapeID="ole_rId2" DrawAspect="Content" ObjectID="_1368272479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XIV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Республика Бурятия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>XIV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3" wp14:anchorId="272CEEC6">
                <wp:simplePos x="0" y="0"/>
                <wp:positionH relativeFrom="column">
                  <wp:posOffset>-97155</wp:posOffset>
                </wp:positionH>
                <wp:positionV relativeFrom="paragraph">
                  <wp:posOffset>118110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3pt" to="514.3pt,9.3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0EFF200F">
                <wp:simplePos x="0" y="0"/>
                <wp:positionH relativeFrom="column">
                  <wp:posOffset>-97155</wp:posOffset>
                </wp:positionH>
                <wp:positionV relativeFrom="paragraph">
                  <wp:posOffset>196215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15.45pt" to="514.3pt,15.45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</w:t>
      </w:r>
      <w:r>
        <w:rPr>
          <w:b/>
          <w:sz w:val="28"/>
          <w:szCs w:val="36"/>
          <w:lang w:val="en-US"/>
        </w:rPr>
        <w:t>50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en-US"/>
        </w:rPr>
        <w:t>29.11.2024</w:t>
      </w:r>
      <w:r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           п. Холодная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установлении земельного налога 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на территории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ru-RU"/>
        </w:rPr>
        <w:t xml:space="preserve">муниципального 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образования сельского поселения 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«Холодное эвенкийское»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 (часть вторая) от 05.08.2000 № 117-ФЗ,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 муниципального образования сельского поселения «Холодное эвенкийское», Совет депутатов муниципального образования сельского поселения «Холодное эвенкийское» V созыва решил: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1. Установить на территории муниципального образования сельского поселения «Холодное эвенкийское» земельный налог и ввести его в действие с 01.01.2025г.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2. Утвердить Положение о земельном налоге на территории муниципального образования «Холодное эвенкийское» согласно приложению.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5. Признать утратившими силу с 1 января 2025 года: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решение Совета депутатов муниципального образования сельского поселения «Холодное эвенкийское» от 29.10.2021 г. №82 «Об установлении земельного налога на территории муниципального образования сельского поселения «Холодное эвенкийское»;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решение Совета депутатов муниципального образования сельского поселения «Холодное эвенкийское» от 30.12.2021 г. №92 «О внесении изменений в Решение Совета депутатов муниципального образования сельского поселения «Холодное эвенкийское» от 29.10.2021 г. №82 «Об установлении земельного налога на территории муниципального образования сельского поселения «Холодное эвенкийское».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решение Совета депутатов муниципального образования сельского поселения «Холодное эвенкийское» от 30.06.2022 г. №106 «О внесении изменений в Решение Совета депутатов муниципального образования сельского поселения «Холодное эвенкийское» от 29.10.2021 г. №82 «Об установлении земельного налога на территории муниципального образования сельского поселения «Холодное эвенкийское».</w:t>
      </w:r>
    </w:p>
    <w:p>
      <w:pPr>
        <w:pStyle w:val="Normal"/>
        <w:ind w:firstLine="708" w:right="0"/>
        <w:jc w:val="both"/>
        <w:rPr/>
      </w:pP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FFFFFF" w:val="clear"/>
          <w:lang w:eastAsia="ar-SA"/>
        </w:rPr>
        <w:t>5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shd w:fill="FFFFFF" w:val="clear"/>
          <w:lang w:eastAsia="en-US"/>
        </w:rPr>
        <w:t>. Настоящее решение подлежит обнародованию в сельском поселении и размещению в сети Интернет на официальном сайте администрации муниципального образования сельского поселения «Холодное эвенкийское» https://xolodnoe-r81.gosweb.gosuslugi.ru.</w:t>
      </w:r>
    </w:p>
    <w:p>
      <w:pPr>
        <w:pStyle w:val="Normal"/>
        <w:ind w:firstLine="708" w:right="0"/>
        <w:jc w:val="both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  <w:shd w:fill="FFFFFF" w:val="clear"/>
        </w:rPr>
      </w:pPr>
      <w:r>
        <w:rPr>
          <w:rFonts w:eastAsia="Calibri" w:cs="Times New Roman"/>
          <w:b w:val="false"/>
          <w:bCs w:val="false"/>
          <w:color w:val="000000"/>
          <w:sz w:val="26"/>
          <w:szCs w:val="26"/>
          <w:shd w:fill="FFFFFF" w:val="clear"/>
          <w:lang w:val="ru-RU"/>
        </w:rPr>
        <w:t>6. Настоящее решение вступает в силу по истечении одного месяца со дня его официального опубликования (обнародования), но не ранее 1 января 2025 года.</w:t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«Холодное эвенкийское»                     С.А. Дармаева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«Холодное эвенкийское                                                 Л.П. Усынина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Приложение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муниципального образования</w:t>
      </w:r>
    </w:p>
    <w:p>
      <w:pPr>
        <w:pStyle w:val="Normal"/>
        <w:jc w:val="right"/>
        <w:rPr>
          <w:szCs w:val="24"/>
          <w:lang w:val="ru-RU"/>
        </w:rPr>
      </w:pPr>
      <w:r>
        <w:rPr>
          <w:szCs w:val="24"/>
          <w:lang w:val="ru-RU"/>
        </w:rPr>
        <w:t>сельского поселения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«</w:t>
      </w:r>
      <w:r>
        <w:rPr>
          <w:szCs w:val="24"/>
          <w:lang w:val="ru-RU"/>
        </w:rPr>
        <w:t>Холодное эвенкийское</w:t>
      </w:r>
      <w:r>
        <w:rPr>
          <w:szCs w:val="24"/>
        </w:rPr>
        <w:t>»</w:t>
      </w:r>
    </w:p>
    <w:p>
      <w:pPr>
        <w:pStyle w:val="Normal"/>
        <w:jc w:val="right"/>
        <w:rPr/>
      </w:pPr>
      <w:r>
        <w:rPr>
          <w:szCs w:val="24"/>
        </w:rPr>
        <w:t xml:space="preserve">от </w:t>
      </w:r>
      <w:r>
        <w:rPr>
          <w:szCs w:val="24"/>
          <w:lang w:val="ru-RU"/>
        </w:rPr>
        <w:t>29.11.2024</w:t>
      </w:r>
      <w:r>
        <w:rPr>
          <w:szCs w:val="24"/>
        </w:rPr>
        <w:t xml:space="preserve"> №</w:t>
      </w:r>
      <w:r>
        <w:rPr>
          <w:szCs w:val="24"/>
          <w:lang w:val="ru-RU"/>
        </w:rPr>
        <w:t>50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Положение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о земельном налоге на территории муниципального образования </w:t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  <w:lang w:val="ru-RU"/>
        </w:rPr>
        <w:t xml:space="preserve">сельского поселения </w:t>
      </w:r>
      <w:r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  <w:lang w:val="ru-RU"/>
        </w:rPr>
        <w:t>Холодное эвенкийское</w:t>
      </w:r>
      <w:r>
        <w:rPr>
          <w:rFonts w:cs="Times New Roman"/>
          <w:b/>
          <w:sz w:val="28"/>
          <w:szCs w:val="28"/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  <w:lang w:val="en-US"/>
        </w:rPr>
        <w:t xml:space="preserve">I. </w:t>
      </w:r>
      <w:r>
        <w:rPr>
          <w:rFonts w:cs="Times New Roman"/>
          <w:b/>
          <w:sz w:val="28"/>
          <w:szCs w:val="28"/>
        </w:rPr>
        <w:t>Общие положения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1. Настоящее Положение в соответствии с главой 31 Налогового кодекса Российской Федерации определяет на территории муниципального образования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 xml:space="preserve">сельского поселения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>Холодное эвенкийское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» налоговые ставки земельного налога (далее — налог), а в отношении налогоплательщиков-организаций также порядок уплаты налога, определяет налоговые льготы, основания и порядок их применения.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/>
      </w:pP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  <w:lang w:val="en-US"/>
        </w:rPr>
        <w:t>II</w:t>
      </w: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</w:rPr>
        <w:t>. Налогоплательщики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en-US"/>
        </w:rPr>
        <w:t>1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. Налогоплательщиками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 xml:space="preserve">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en-US"/>
        </w:rPr>
        <w:t>р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>азделом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en-US"/>
        </w:rPr>
        <w:t xml:space="preserve"> III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настоящего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>Положения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>
      <w:pPr>
        <w:pStyle w:val="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/>
      </w:pP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  <w:lang w:val="en-US"/>
        </w:rPr>
        <w:t>III</w:t>
      </w: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</w:rPr>
        <w:t>. Объект налогообложения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1. Объектом налогообложения признаются земельные участки, расположенные на территории муниципального образования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 xml:space="preserve">сельского поселения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«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>Холодное эвенкийское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».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Не признаются объектом налогообложения: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1) земельные участки, изъятые из оборота в соответствии с законодательством Российской Федерации;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3) земельные участки из состава земель лесного фонда;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5) земельные участки, входящие в состав общего имущества многоквартирного дома.</w:t>
      </w:r>
    </w:p>
    <w:p>
      <w:pPr>
        <w:pStyle w:val="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/>
      </w:pP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  <w:lang w:val="en-US"/>
        </w:rPr>
        <w:t>IV</w:t>
      </w: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</w:rPr>
        <w:t>. Налоговая база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Налоговая база определяется как кадастровая стоимость земельных участков, признаваемых объектом налогообложения в соответствии с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 xml:space="preserve">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en-US"/>
        </w:rPr>
        <w:t>р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>азделом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en-US"/>
        </w:rPr>
        <w:t xml:space="preserve"> III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настоящего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>Положения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numPr>
          <w:ilvl w:val="0"/>
          <w:numId w:val="0"/>
        </w:numPr>
        <w:ind w:firstLine="540" w:left="0"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/>
      </w:pP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  <w:lang w:val="en-US"/>
        </w:rPr>
        <w:t>V</w:t>
      </w: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</w:rPr>
        <w:t>. Порядок определения налоговой базы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настоящим разделом.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В случае изменения кадастровой стоимости земельного участка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3. Налоговая база в отношении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жилищному фонду и (или) объектам инженерной инфраструктуры жилищно-коммунального комплекса, определяется как доля кадастровой стоимости всего земельного участка, пропорциональная указанной части земельного участка.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Для определения налоговой базы в соответствии с настоящим пунктом налогоплательщик представляет в налоговый орган по своему выбору уведомление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 (далее в настоящем пункте - уведомление), с приложением предусмотренных законодательством Российской Федерации документов, подтверждающих наличие на земельном участке жилищного фонда и (или) объектов инженерной инфраструктуры жилищно-коммунального комплекса, а также площадь части земельного участка, приходящейся на объект недвижимого имущества, не относящийся к жилищному фонду и (или) объектам инженерной инфраструктуры жилищно-коммунального комплекса. Уведомление и указанные документы могут быть представлены в налоговый орган налогоплательщиками - физическими лицами через многофункциональный центр предоставления государственных и муниципальных услуг.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Уведомление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Налогового кодекса РФ в связи с отсутствием сведений, необходимых для рассмотрения уведомления,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 выявлении оснований, препятствующих определению налоговой базы в соответствии с уведомлением, налоговый орган информирует об этом налогоплательщика.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 случае, если налогоплательщик не представил в налоговый орган уведомление, определение налоговой базы в соответствии с настоящим пунктом осуществляется на основании сведений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комплекса, полученных налоговым органом в соответствии с Налоговым кодексом РФ и другими федеральными законами. 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Форма уведомления, порядок ее заполнения, формат представления уведомления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4.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5.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6.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bookmarkStart w:id="0" w:name="Par28"/>
      <w:bookmarkEnd w:id="0"/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1) Героев Советского Союза, Героев Российской Федерации, полных кавалеров ордена Славы;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2) инвалидов I и II групп инвалидности;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3) инвалидов с детства, детей-инвалидов;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4) ветеранов и инвалидов Великой Отечественной войны, а также ветеранов и инвалидов боевых действий;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10) физических лиц, имеющих трех и более несовершеннолетних детей.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7. Уменьшение налоговой базы в соответствии с пунктом 6 настоящего раздела (налоговый вычет) производится в отношении одного земельного участка по выбору налогоплательщика.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Налогового кодекса РФ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налогоплательщика.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8. В случае, если при применении налогового вычета в соответствии с настоящим разделом налоговая база принимает отрицательное значение, в целях исчисления налога такая налоговая база принимается равной нулю.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/>
      </w:pP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  <w:lang w:val="en-US"/>
        </w:rPr>
        <w:t>VI</w:t>
      </w: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</w:rPr>
        <w:t>. Особенности определения налоговой базы в отношении земельных участков, находящихся в общей собственности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>
      <w:pPr>
        <w:pStyle w:val="Normal"/>
        <w:numPr>
          <w:ilvl w:val="0"/>
          <w:numId w:val="0"/>
        </w:numPr>
        <w:ind w:hanging="0" w:left="0"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jc w:val="center"/>
        <w:outlineLvl w:val="0"/>
        <w:rPr/>
      </w:pP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  <w:lang w:val="en-US"/>
        </w:rPr>
        <w:t>VII</w:t>
      </w: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</w:rPr>
        <w:t>. Налоговый период. Отчетный период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Налоговым периодом признается календарный год.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3.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>
      <w:pPr>
        <w:pStyle w:val="Normal"/>
        <w:spacing w:before="0" w:after="0"/>
        <w:ind w:firstLine="56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0"/>
        <w:spacing w:before="0" w:after="0"/>
        <w:jc w:val="center"/>
        <w:rPr/>
      </w:pPr>
      <w:r>
        <w:rPr>
          <w:rFonts w:cs="Times New Roman"/>
          <w:b/>
          <w:bCs/>
          <w:sz w:val="28"/>
          <w:szCs w:val="28"/>
          <w:lang w:val="en-US"/>
        </w:rPr>
        <w:t>VIII</w:t>
      </w:r>
      <w:r>
        <w:rPr>
          <w:rFonts w:cs="Times New Roman"/>
          <w:b/>
          <w:bCs/>
          <w:sz w:val="28"/>
          <w:szCs w:val="28"/>
        </w:rPr>
        <w:t>. Налогов</w:t>
      </w:r>
      <w:r>
        <w:rPr>
          <w:rFonts w:cs="Times New Roman"/>
          <w:b/>
          <w:bCs/>
          <w:sz w:val="28"/>
          <w:szCs w:val="28"/>
          <w:lang w:val="ru-RU"/>
        </w:rPr>
        <w:t>ые</w:t>
      </w:r>
      <w:r>
        <w:rPr>
          <w:rFonts w:cs="Times New Roman"/>
          <w:b/>
          <w:bCs/>
          <w:sz w:val="28"/>
          <w:szCs w:val="28"/>
        </w:rPr>
        <w:t xml:space="preserve"> ставки</w:t>
      </w:r>
    </w:p>
    <w:p>
      <w:pPr>
        <w:pStyle w:val="Style20"/>
        <w:spacing w:before="0" w:after="0"/>
        <w:ind w:firstLine="567" w:righ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0"/>
      <w:bookmarkEnd w:id="1"/>
      <w:r>
        <w:rPr>
          <w:rFonts w:cs="Times New Roman"/>
          <w:sz w:val="28"/>
          <w:szCs w:val="28"/>
        </w:rPr>
        <w:t>1. Налоговые ставки устанавливаются в следующих размерах: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1) 0,3 процента в отношении земельных участков: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2) 1,5 процента в отношении прочих земельных участков.</w:t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/>
      </w:pP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  <w:lang w:val="en-US"/>
        </w:rPr>
        <w:t>IX</w:t>
      </w: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</w:rPr>
        <w:t>. Налоговые льготы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Освобождаются от налогообложения: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1) учреждения и органы уголовно-исполнительной системы - в отношении земельных участков, предоставленных для непосредственного выполнения возложенных на эти учреждения и органы функций;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</w:t>
      </w:r>
      <w:r>
        <w:rPr>
          <w:rFonts w:cs="Times New Roman"/>
          <w:b w:val="false"/>
          <w:i w:val="false"/>
          <w:strike w:val="false"/>
          <w:dstrike w:val="false"/>
          <w:color w:val="111111"/>
          <w:sz w:val="28"/>
          <w:szCs w:val="28"/>
          <w:u w:val="none"/>
        </w:rPr>
        <w:t>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>
      <w:pPr>
        <w:pStyle w:val="Normal"/>
        <w:ind w:firstLine="540" w:right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color w:val="111111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color w:val="111111"/>
          <w:sz w:val="28"/>
          <w:szCs w:val="28"/>
          <w:u w:val="none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color w:val="111111"/>
          <w:sz w:val="28"/>
          <w:szCs w:val="28"/>
          <w:u w:val="none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color w:val="111111"/>
          <w:sz w:val="28"/>
          <w:szCs w:val="28"/>
          <w:u w:val="none"/>
        </w:rPr>
        <w:t>6)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расположенных в местах их традиционного проживания и традиционной хозяйственной деятельности в соответствии с перечнем таких мест, утвержденным Правительством Российской Федерации;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color w:val="111111"/>
          <w:sz w:val="28"/>
          <w:szCs w:val="28"/>
          <w:u w:val="none"/>
        </w:rPr>
        <w:t>7) организации - резиденты особой экономической зоны, за исключением организаций, указанных в подпункте 9 настоящего раздела, - в отношении земельных участков, расположенных на территории особой экономический зоны, сроком на пять лет с месяца возникновения права собственности на каждый земельный участок.</w:t>
      </w:r>
    </w:p>
    <w:p>
      <w:pPr>
        <w:pStyle w:val="Normal"/>
        <w:ind w:firstLine="540" w:right="0"/>
        <w:jc w:val="both"/>
        <w:rPr/>
      </w:pPr>
      <w:bookmarkStart w:id="2" w:name="Par18"/>
      <w:bookmarkEnd w:id="2"/>
      <w:r>
        <w:rPr>
          <w:rFonts w:cs="Times New Roman"/>
          <w:b w:val="false"/>
          <w:i w:val="false"/>
          <w:strike w:val="false"/>
          <w:dstrike w:val="false"/>
          <w:color w:val="111111"/>
          <w:sz w:val="28"/>
          <w:szCs w:val="28"/>
          <w:u w:val="none"/>
        </w:rPr>
        <w:t>8) организации, признаваемые управляющими компаниями в соответствии с Федеральным законом «Об инновационном центре «Сколково», - в отношении земельных участков, входящих в состав территории инновационного центра «Сколково» и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color w:val="111111"/>
          <w:sz w:val="28"/>
          <w:szCs w:val="28"/>
          <w:u w:val="none"/>
        </w:rPr>
        <w:t>9) 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лет;</w:t>
      </w:r>
    </w:p>
    <w:p>
      <w:pPr>
        <w:pStyle w:val="Normal"/>
        <w:ind w:firstLine="540" w:right="0"/>
        <w:jc w:val="both"/>
        <w:rPr/>
      </w:pPr>
      <w:bookmarkStart w:id="3" w:name="Par29"/>
      <w:bookmarkEnd w:id="3"/>
      <w:r>
        <w:rPr>
          <w:rFonts w:cs="Times New Roman"/>
          <w:b w:val="false"/>
          <w:i w:val="false"/>
          <w:strike w:val="false"/>
          <w:dstrike w:val="false"/>
          <w:color w:val="111111"/>
          <w:sz w:val="28"/>
          <w:szCs w:val="28"/>
          <w:u w:val="none"/>
        </w:rPr>
        <w:t>10) организации - участники свободной экономической зоны на территориях Республики Крым и города федерального значения Севастополя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был расторгнут договор об условиях деятельности в свободной экономической зоне, не позднее сроков, установленных для уплаты авансовых платежей по налогу за отчетный период или налога за налоговый период;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color w:val="111111"/>
          <w:sz w:val="28"/>
          <w:szCs w:val="28"/>
          <w:u w:val="none"/>
        </w:rPr>
        <w:t>11</w:t>
      </w:r>
      <w:bookmarkStart w:id="4" w:name="Par31"/>
      <w:r>
        <w:rPr>
          <w:rFonts w:cs="Times New Roman"/>
          <w:b w:val="false"/>
          <w:i w:val="false"/>
          <w:strike w:val="false"/>
          <w:dstrike w:val="false"/>
          <w:color w:val="111111"/>
          <w:sz w:val="28"/>
          <w:szCs w:val="28"/>
          <w:u w:val="none"/>
        </w:rPr>
        <w:t>) организации, признаваемые фондами в соответствии с Федеральным законом от 29 июля 2017 года № 216-ФЗ «Об инновационных научно-технологических центрах и о внесении изменений в отдельные законодательные акты Российской Федерации», - в отношении земельных участков, входящих в состав территории инновационного научно-технологического центра.</w:t>
      </w:r>
    </w:p>
    <w:p>
      <w:pPr>
        <w:pStyle w:val="Normal"/>
        <w:ind w:firstLine="709" w:right="0"/>
        <w:jc w:val="both"/>
        <w:rPr/>
      </w:pPr>
      <w:r>
        <w:rPr>
          <w:rFonts w:eastAsia="Times New Roman CYR" w:cs="Times New Roman"/>
          <w:bCs/>
          <w:color w:val="111111"/>
          <w:sz w:val="28"/>
          <w:szCs w:val="28"/>
        </w:rPr>
        <w:t>12) 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члены их семей, на период прохождения ими военной службы, в отношение земельного участка, по адресу которого гражд</w:t>
      </w:r>
      <w:r>
        <w:rPr>
          <w:rFonts w:eastAsia="Times New Roman CYR" w:cs="Times New Roman"/>
          <w:bCs/>
          <w:sz w:val="28"/>
          <w:szCs w:val="28"/>
        </w:rPr>
        <w:t>анин и члены его семьи имеет постоянную регистрацию.  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лет;</w:t>
      </w:r>
    </w:p>
    <w:p>
      <w:pPr>
        <w:pStyle w:val="Normal"/>
        <w:ind w:firstLine="709" w:right="0"/>
        <w:jc w:val="both"/>
        <w:rPr>
          <w:rFonts w:ascii="Times New Roman" w:hAnsi="Times New Roman" w:eastAsia="Times New Roman CYR" w:cs="Times New Roman"/>
          <w:b w:val="false"/>
          <w:bCs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eastAsia="Times New Roman CYR" w:cs="Times New Roman"/>
          <w:b w:val="false"/>
          <w:bCs/>
          <w:i w:val="false"/>
          <w:strike w:val="false"/>
          <w:dstrike w:val="false"/>
          <w:sz w:val="28"/>
          <w:szCs w:val="28"/>
          <w:u w:val="none"/>
        </w:rPr>
        <w:t>13) 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члены их семей, на период прохождения ими военной службы, в отношение земельного участка, по адресу которого гражданин и члены его семьи имеет постоянную регистрацию. Членами их семей признаются супруга (супруг), состоящая (состоящий) с ним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В случае, если в период применения налоговых льгот, предусмотренных подпунктами 7, 9 и 10 пункта 1 настоящего раздела, осуществлены раздел или объединение земельных участков в отношении образованных в результате раздела или объединения земельных участков, налоговые льготы, указанные в подпунктах 7, 9 и 10 пункта 1 настоящего раздела, не применяются.</w:t>
      </w:r>
    </w:p>
    <w:p>
      <w:pPr>
        <w:pStyle w:val="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/>
      </w:pP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  <w:lang w:val="en-US"/>
        </w:rPr>
        <w:t>X</w:t>
      </w: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</w:rPr>
        <w:t>. Порядок исчисления налога и авансовых платежей по налогу</w:t>
      </w:r>
    </w:p>
    <w:p>
      <w:pPr>
        <w:pStyle w:val="Normal"/>
        <w:ind w:firstLine="540" w:right="0"/>
        <w:jc w:val="both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1.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en-US"/>
        </w:rPr>
        <w:t xml:space="preserve"> Сумма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 xml:space="preserve">налога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 396 Налогового кодекса РФ.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/>
      </w:pP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  <w:lang w:val="en-US"/>
        </w:rPr>
        <w:t>XI</w:t>
      </w:r>
      <w:r>
        <w:rPr>
          <w:rFonts w:cs="Times New Roman"/>
          <w:b/>
          <w:i w:val="false"/>
          <w:strike w:val="false"/>
          <w:dstrike w:val="false"/>
          <w:sz w:val="28"/>
          <w:szCs w:val="28"/>
          <w:u w:val="none"/>
        </w:rPr>
        <w:t>. Порядок и сроки уплаты налога и авансовых платежей по налогу</w:t>
      </w:r>
    </w:p>
    <w:p>
      <w:pPr>
        <w:pStyle w:val="Normal"/>
        <w:numPr>
          <w:ilvl w:val="0"/>
          <w:numId w:val="0"/>
        </w:numPr>
        <w:ind w:firstLine="540" w:left="0" w:right="0"/>
        <w:jc w:val="both"/>
        <w:outlineLvl w:val="0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1.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>
      <w:pPr>
        <w:pStyle w:val="Normal"/>
        <w:numPr>
          <w:ilvl w:val="0"/>
          <w:numId w:val="0"/>
        </w:numPr>
        <w:ind w:firstLine="540" w:left="0" w:right="0"/>
        <w:jc w:val="both"/>
        <w:outlineLvl w:val="0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>
      <w:pPr>
        <w:pStyle w:val="Normal"/>
        <w:numPr>
          <w:ilvl w:val="0"/>
          <w:numId w:val="0"/>
        </w:numPr>
        <w:ind w:firstLine="540" w:left="0" w:right="0"/>
        <w:jc w:val="both"/>
        <w:outlineLvl w:val="0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2. Налогоплательщики-организации уплачивают авансовые платежи по налогу в течение налогового периода.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РФ.</w:t>
      </w:r>
    </w:p>
    <w:p>
      <w:pPr>
        <w:pStyle w:val="Normal"/>
        <w:numPr>
          <w:ilvl w:val="0"/>
          <w:numId w:val="0"/>
        </w:numPr>
        <w:ind w:firstLine="540" w:left="0" w:right="0"/>
        <w:jc w:val="both"/>
        <w:outlineLvl w:val="0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 Налог и авансовые платежи по налогу уплачиваются налогоплательщиками в бюджет по месту нахождения земельных участков, признаваемых объектом налогообложения в соответствии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 xml:space="preserve"> с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en-US"/>
        </w:rPr>
        <w:t>р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>азделом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en-US"/>
        </w:rPr>
        <w:t xml:space="preserve"> III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настоящего </w:t>
      </w: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>Положения.</w:t>
      </w:r>
    </w:p>
    <w:p>
      <w:pPr>
        <w:pStyle w:val="Normal"/>
        <w:numPr>
          <w:ilvl w:val="0"/>
          <w:numId w:val="0"/>
        </w:numPr>
        <w:ind w:firstLine="540" w:left="0" w:right="0"/>
        <w:jc w:val="both"/>
        <w:outlineLvl w:val="0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4. Налогоплательщики - физические лица уплачивают налог на основании налогового уведомления, направленного налоговым органом.</w:t>
      </w:r>
    </w:p>
    <w:p>
      <w:pPr>
        <w:pStyle w:val="Normal"/>
        <w:numPr>
          <w:ilvl w:val="0"/>
          <w:numId w:val="0"/>
        </w:numPr>
        <w:ind w:firstLine="540" w:left="0" w:right="0"/>
        <w:jc w:val="both"/>
        <w:outlineLvl w:val="0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bookmarkStart w:id="5" w:name="Par13"/>
      <w:bookmarkEnd w:id="5"/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>
      <w:pPr>
        <w:pStyle w:val="Normal"/>
        <w:numPr>
          <w:ilvl w:val="0"/>
          <w:numId w:val="0"/>
        </w:numPr>
        <w:ind w:firstLine="540" w:left="0" w:right="0"/>
        <w:jc w:val="both"/>
        <w:outlineLvl w:val="0"/>
        <w:rPr/>
      </w:pPr>
      <w:bookmarkStart w:id="6" w:name="Par15"/>
      <w:bookmarkEnd w:id="6"/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>
      <w:pPr>
        <w:pStyle w:val="Normal"/>
        <w:numPr>
          <w:ilvl w:val="0"/>
          <w:numId w:val="0"/>
        </w:numPr>
        <w:ind w:firstLine="540" w:left="0" w:right="0"/>
        <w:jc w:val="both"/>
        <w:outlineLvl w:val="0"/>
        <w:rPr/>
      </w:pPr>
      <w:r>
        <w:rPr>
          <w:rFonts w:cs="Times New Roman"/>
          <w:b w:val="false"/>
          <w:i w:val="false"/>
          <w:strike w:val="false"/>
          <w:dstrike w:val="false"/>
          <w:sz w:val="28"/>
          <w:szCs w:val="28"/>
          <w:u w:val="none"/>
        </w:rPr>
        <w:t>5. В целях обеспечения полноты уплаты налога налогоплательщиками-организациями составление, передача (направление) налоговыми органами указанным налогоплательщикам-организациям сообщений об исчисленных налоговыми органами суммах налога, представление такими налогоплательщиками в налоговые органы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 таким налогоплательщикам уточненных сообщений об исчисленных суммах налога осуществляются в порядке и сроки, аналогичные порядку и срокам, предусмотренным пунктами 4-7 статьи 363 Налогового кодекса РФ.</w:t>
      </w:r>
    </w:p>
    <w:p>
      <w:pPr>
        <w:pStyle w:val="Normal"/>
        <w:numPr>
          <w:ilvl w:val="0"/>
          <w:numId w:val="0"/>
        </w:numPr>
        <w:ind w:firstLine="540" w:left="0" w:right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</w:r>
      <w:bookmarkStart w:id="7" w:name="Par28_Копия_1"/>
      <w:bookmarkStart w:id="8" w:name="Par18_Копия_1"/>
      <w:bookmarkStart w:id="9" w:name="Par29_Копия_1"/>
      <w:bookmarkStart w:id="10" w:name="Par13_Копия_1"/>
      <w:bookmarkStart w:id="11" w:name="Par15_Копия_1"/>
      <w:bookmarkStart w:id="12" w:name="Par28_Копия_1"/>
      <w:bookmarkStart w:id="13" w:name="Par18_Копия_1"/>
      <w:bookmarkStart w:id="14" w:name="Par29_Копия_1"/>
      <w:bookmarkStart w:id="15" w:name="Par13_Копия_1"/>
      <w:bookmarkStart w:id="16" w:name="Par15_Копия_1"/>
      <w:bookmarkEnd w:id="4"/>
      <w:bookmarkEnd w:id="12"/>
      <w:bookmarkEnd w:id="13"/>
      <w:bookmarkEnd w:id="14"/>
      <w:bookmarkEnd w:id="15"/>
      <w:bookmarkEnd w:id="16"/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1200" w:right="616" w:gutter="0" w:header="0" w:top="900" w:footer="672" w:bottom="7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bd65b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d65b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bd65be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Pagenumber">
    <w:name w:val="page number"/>
    <w:basedOn w:val="DefaultParagraphFont"/>
    <w:qFormat/>
    <w:rsid w:val="00bd65be"/>
    <w:rPr/>
  </w:style>
  <w:style w:type="character" w:styleId="Style14" w:customStyle="1">
    <w:name w:val="Нижний колонтитул Знак"/>
    <w:basedOn w:val="DefaultParagraphFont"/>
    <w:qFormat/>
    <w:rsid w:val="00bd65be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rsid w:val="00bd65b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800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bd65be"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d6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Header">
    <w:name w:val="Header"/>
    <w:basedOn w:val="Normal"/>
    <w:link w:val="Style15"/>
    <w:uiPriority w:val="99"/>
    <w:unhideWhenUsed/>
    <w:rsid w:val="007800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Обычный (веб)"/>
    <w:basedOn w:val="Normal"/>
    <w:qFormat/>
    <w:pPr>
      <w:spacing w:before="280" w:after="280"/>
    </w:pPr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4407</TotalTime>
  <Application>LibreOffice/7.6.4.1$Windows_X86_64 LibreOffice_project/e19e193f88cd6c0525a17fb7a176ed8e6a3e2aa1</Application>
  <AppVersion>15.0000</AppVersion>
  <Pages>11</Pages>
  <Words>3271</Words>
  <Characters>23847</Characters>
  <CharactersWithSpaces>27184</CharactersWithSpaces>
  <Paragraphs>124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2023-08-29T05:39:00Z</dcterms:created>
  <dc:creator>User</dc:creator>
  <dc:description/>
  <dc:language>ru-RU</dc:language>
  <cp:lastModifiedBy/>
  <cp:lastPrinted>2024-11-28T13:44:44Z</cp:lastPrinted>
  <dcterms:modified xsi:type="dcterms:W3CDTF">2024-11-28T13:44:52Z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